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D7" w:rsidRDefault="009327B7">
      <w:pPr>
        <w:suppressAutoHyphens/>
        <w:spacing w:before="130" w:after="130" w:line="240" w:lineRule="auto"/>
        <w:jc w:val="center"/>
      </w:pPr>
      <w:bookmarkStart w:id="0" w:name="_GoBack"/>
      <w:bookmarkEnd w:id="0"/>
      <w:r>
        <w:rPr>
          <w:rFonts w:ascii="Helvetica" w:eastAsia="Helvetica" w:hAnsi="Helvetica" w:cs="Helvetica"/>
          <w:b/>
          <w:caps/>
          <w:sz w:val="24"/>
        </w:rPr>
        <w:t>Zarządzenie nr 13 Ministra Spraw Wewnętrznych i Administracji zmieniające zarządzenie w sprawie ustalenia regulaminu organizacyjnego Biura Spraw Wewnętrznych Policji</w:t>
      </w:r>
    </w:p>
    <w:p w:rsidR="00B925D7" w:rsidRDefault="009327B7">
      <w:pPr>
        <w:jc w:val="both"/>
      </w:pPr>
      <w:r>
        <w:rPr>
          <w:rStyle w:val="Odwoanieprzypisudolnego"/>
        </w:rPr>
        <w:footnoteReference w:id="1"/>
      </w:r>
    </w:p>
    <w:p w:rsidR="00B925D7" w:rsidRDefault="009327B7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>z dnia 26 kwietnia 2022 r. (</w:t>
      </w:r>
      <w:proofErr w:type="spellStart"/>
      <w:r>
        <w:rPr>
          <w:rFonts w:ascii="Helvetica" w:eastAsia="Helvetica" w:hAnsi="Helvetica" w:cs="Helvetica"/>
          <w:b/>
          <w:sz w:val="18"/>
        </w:rPr>
        <w:t>Dz.Urz.MSWiA</w:t>
      </w:r>
      <w:proofErr w:type="spellEnd"/>
      <w:r>
        <w:rPr>
          <w:rFonts w:ascii="Helvetica" w:eastAsia="Helvetica" w:hAnsi="Helvetica" w:cs="Helvetica"/>
          <w:b/>
          <w:sz w:val="18"/>
        </w:rPr>
        <w:t xml:space="preserve"> z 2022 r. poz. 24)</w:t>
      </w:r>
    </w:p>
    <w:p w:rsidR="00B925D7" w:rsidRDefault="009327B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 xml:space="preserve">Na podstawie art. 7 ust. 5 </w:t>
      </w:r>
      <w:r>
        <w:rPr>
          <w:rFonts w:ascii="Helvetica" w:eastAsia="Helvetica" w:hAnsi="Helvetica" w:cs="Helvetica"/>
          <w:sz w:val="18"/>
        </w:rPr>
        <w:t>ustawy z dnia 6 kwietnia 1990 r. o Policji (Dz.U. z 2021 r. poz. 1882, 2333, 2447 i 2448 oraz z 2022 r. poz. 655) zarządza się, co następuje:</w:t>
      </w:r>
    </w:p>
    <w:p w:rsidR="00B925D7" w:rsidRDefault="009327B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1</w:t>
      </w:r>
      <w:r>
        <w:rPr>
          <w:rFonts w:ascii="Helvetica" w:eastAsia="Helvetica" w:hAnsi="Helvetica" w:cs="Helvetica"/>
          <w:sz w:val="18"/>
        </w:rPr>
        <w:t xml:space="preserve"> W zarządzeniu nr 49 Ministra Spraw Wewnętrznych i Administracji z dnia 27 lipca 2018 r. w sprawie ustalenia re</w:t>
      </w:r>
      <w:r>
        <w:rPr>
          <w:rFonts w:ascii="Helvetica" w:eastAsia="Helvetica" w:hAnsi="Helvetica" w:cs="Helvetica"/>
          <w:sz w:val="18"/>
        </w:rPr>
        <w:t>gulaminu organizacyjnego Biura Spraw Wewnętrznych Policji (</w:t>
      </w:r>
      <w:proofErr w:type="spellStart"/>
      <w:r>
        <w:rPr>
          <w:rFonts w:ascii="Helvetica" w:eastAsia="Helvetica" w:hAnsi="Helvetica" w:cs="Helvetica"/>
          <w:sz w:val="18"/>
        </w:rPr>
        <w:t>Dz.Urz</w:t>
      </w:r>
      <w:proofErr w:type="spellEnd"/>
      <w:r>
        <w:rPr>
          <w:rFonts w:ascii="Helvetica" w:eastAsia="Helvetica" w:hAnsi="Helvetica" w:cs="Helvetica"/>
          <w:sz w:val="18"/>
        </w:rPr>
        <w:t>. Min. Spraw Wew. i Ad. poz. 61, z 2019 r. poz. 44 oraz z 2020 r. poz. 75) w załączniku „Regulamin Organizacyjny Biura Spraw Wewnętrznych Policji” wprowadza się następujące zmiany: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w § 2 p</w:t>
      </w:r>
      <w:r>
        <w:rPr>
          <w:rFonts w:ascii="Helvetica" w:eastAsia="Helvetica" w:hAnsi="Helvetica" w:cs="Helvetica"/>
          <w:sz w:val="18"/>
        </w:rPr>
        <w:t>kt 3 otrzymuje brzmienie:</w:t>
      </w:r>
    </w:p>
    <w:p w:rsidR="00B925D7" w:rsidRDefault="009327B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,, 3) kierownicy komórek organizacyjnych BSWP, o których mowa w § 3 pkt 2-20 i 22, zwani dalej „naczelnikami”. ";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w § 3:</w:t>
      </w:r>
    </w:p>
    <w:p w:rsidR="00B925D7" w:rsidRDefault="009327B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pkt 20 otrzymuje brzmienie:</w:t>
      </w:r>
    </w:p>
    <w:p w:rsidR="00B925D7" w:rsidRDefault="009327B7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,, 20) Wydział w Warszawie; ",</w:t>
      </w:r>
    </w:p>
    <w:p w:rsidR="00B925D7" w:rsidRDefault="009327B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uchyla się pkt 21;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 xml:space="preserve">3) w § 4 w ust. 3 pkt </w:t>
      </w:r>
      <w:r>
        <w:rPr>
          <w:rFonts w:ascii="Helvetica" w:eastAsia="Helvetica" w:hAnsi="Helvetica" w:cs="Helvetica"/>
          <w:sz w:val="18"/>
        </w:rPr>
        <w:t>6 otrzymuje brzmienie:</w:t>
      </w:r>
    </w:p>
    <w:p w:rsidR="00B925D7" w:rsidRDefault="009327B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,, 6) organizowanie współdziałania BSWP z innymi jednostkami organizacyjnymi Policji oraz właściwymi organami i instytucjami, w tym z innych państw, w szczególności z: Komendą Główną Policji, zwaną dalej „KGP”, Centralnym Biurem Śled</w:t>
      </w:r>
      <w:r>
        <w:rPr>
          <w:rFonts w:ascii="Helvetica" w:eastAsia="Helvetica" w:hAnsi="Helvetica" w:cs="Helvetica"/>
          <w:sz w:val="18"/>
        </w:rPr>
        <w:t>czym Policji, Centralnym Biurem Zwalczania Cyberprzestępczości, Wyższą Szkołą Policji w Szczytnie, szkołami policyjnymi, Centralnym Laboratorium Kryminalistycznym Policji, Centrum Usług Logistycznych, Biurem Spraw Wewnętrznych Straży Granicznej, Żandarmeri</w:t>
      </w:r>
      <w:r>
        <w:rPr>
          <w:rFonts w:ascii="Helvetica" w:eastAsia="Helvetica" w:hAnsi="Helvetica" w:cs="Helvetica"/>
          <w:sz w:val="18"/>
        </w:rPr>
        <w:t>ą Wojskową, Agencją Bezpieczeństwa Wewnętrznego, zwaną dalej „ABW”, Krajową Administracją Skarbową, Służbą Kontrwywiadu Wojskowego, Służbą Ochrony Państwa, Państwową Strażą Pożarną, Centralnym Biurem Antykorupcyjnym, Urzędem Ochrony Danych Osobowych, Gener</w:t>
      </w:r>
      <w:r>
        <w:rPr>
          <w:rFonts w:ascii="Helvetica" w:eastAsia="Helvetica" w:hAnsi="Helvetica" w:cs="Helvetica"/>
          <w:sz w:val="18"/>
        </w:rPr>
        <w:t>alnym Inspektorem Informacji Finansowej, sądami, prokuraturą, ministrem właściwym do spraw wewnętrznych i Inspektorem Nadzoru Wewnętrznego. ";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4) w § 8 ust. 2 otrzymuje brzmienie: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2. Praca w BSWP wykonywana jest zgodnie z organizacją pracy pracowników okre</w:t>
      </w:r>
      <w:r>
        <w:rPr>
          <w:rFonts w:ascii="Helvetica" w:eastAsia="Helvetica" w:hAnsi="Helvetica" w:cs="Helvetica"/>
          <w:sz w:val="18"/>
        </w:rPr>
        <w:t>śloną przez Komendanta.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5) w § 9a:</w:t>
      </w:r>
    </w:p>
    <w:p w:rsidR="00B925D7" w:rsidRDefault="009327B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uchyla się pkt 8,</w:t>
      </w:r>
    </w:p>
    <w:p w:rsidR="00B925D7" w:rsidRDefault="009327B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pkt 20 otrzymuje brzmienie:</w:t>
      </w:r>
    </w:p>
    <w:p w:rsidR="00B925D7" w:rsidRDefault="009327B7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,, 20) prowadzenie strony podmiotowej Komendanta w Biuletynie Informacji Publicznej; ";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6) w § 12 po pkt 25f dodaje się pkt 25g i 25h w brzmieniu:</w:t>
      </w:r>
    </w:p>
    <w:p w:rsidR="00B925D7" w:rsidRDefault="009327B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 xml:space="preserve">,, 25g) realizowanie </w:t>
      </w:r>
      <w:r>
        <w:rPr>
          <w:rFonts w:ascii="Helvetica" w:eastAsia="Helvetica" w:hAnsi="Helvetica" w:cs="Helvetica"/>
          <w:sz w:val="18"/>
        </w:rPr>
        <w:t>zadań w zakresie medycyny pracy;</w:t>
      </w:r>
    </w:p>
    <w:p w:rsidR="00B925D7" w:rsidRDefault="009327B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25h) realizowanie zadań dotyczących gospodarowania funduszem operacyjnym Policji będącym w dyspozycji Komendanta oraz prowadzenie sprawozdawczości w tym zakresie. ";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7) w § 14 wprowadzenie do wyliczenia otrzymuje brzmienie: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lastRenderedPageBreak/>
        <w:t>,, Do zakresu działania komórek organizacyjnych BSWP, o których mowa w § 3 pkt 5-20 i 22, należy w szczególności: "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8) w § 14aa:</w:t>
      </w:r>
    </w:p>
    <w:p w:rsidR="00B925D7" w:rsidRDefault="009327B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pkt 4 otrzymuje brzmienie:</w:t>
      </w:r>
    </w:p>
    <w:p w:rsidR="00B925D7" w:rsidRDefault="009327B7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,, 4) realizowanie zadań związanych z odpowiedzialnością dyscyplinarną policjantów, w tym przygo</w:t>
      </w:r>
      <w:r>
        <w:rPr>
          <w:rFonts w:ascii="Helvetica" w:eastAsia="Helvetica" w:hAnsi="Helvetica" w:cs="Helvetica"/>
          <w:sz w:val="18"/>
        </w:rPr>
        <w:t>towywanie projektów rozstrzygnięć oraz prowadzenie sprawozdawczości w tym zakresie; ";</w:t>
      </w:r>
    </w:p>
    <w:p w:rsidR="00B925D7" w:rsidRDefault="009327B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po pkt 4 dodaje się pkt 4a w brzmieniu:</w:t>
      </w:r>
    </w:p>
    <w:p w:rsidR="00B925D7" w:rsidRDefault="009327B7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,, 4a) opiniowanie spraw w zakresie odpowiedzialności dyscyplinarnej członków korpusu służby cywilnej oraz odpowiedzialności p</w:t>
      </w:r>
      <w:r>
        <w:rPr>
          <w:rFonts w:ascii="Helvetica" w:eastAsia="Helvetica" w:hAnsi="Helvetica" w:cs="Helvetica"/>
          <w:sz w:val="18"/>
        </w:rPr>
        <w:t>orządkowej pracowników niebędących członkami korpusu służby cywilnej; ";</w:t>
      </w:r>
    </w:p>
    <w:p w:rsidR="00B925D7" w:rsidRDefault="009327B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9) w § 14b w pkt 10 średnik zastępuje się kropką i uchyla się pkt 11.</w:t>
      </w:r>
    </w:p>
    <w:p w:rsidR="00B925D7" w:rsidRDefault="009327B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2</w:t>
      </w:r>
      <w:r>
        <w:rPr>
          <w:rFonts w:ascii="Helvetica" w:eastAsia="Helvetica" w:hAnsi="Helvetica" w:cs="Helvetica"/>
          <w:sz w:val="18"/>
        </w:rPr>
        <w:t xml:space="preserve"> Komendant jest obowiązany do niezwłocznego zapoznania policjantów i pracowników BSWP z przepisami niniejszego</w:t>
      </w:r>
      <w:r>
        <w:rPr>
          <w:rFonts w:ascii="Helvetica" w:eastAsia="Helvetica" w:hAnsi="Helvetica" w:cs="Helvetica"/>
          <w:sz w:val="18"/>
        </w:rPr>
        <w:t xml:space="preserve"> zarządzenia.</w:t>
      </w:r>
    </w:p>
    <w:p w:rsidR="00B925D7" w:rsidRDefault="009327B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3</w:t>
      </w:r>
      <w:r>
        <w:rPr>
          <w:rFonts w:ascii="Helvetica" w:eastAsia="Helvetica" w:hAnsi="Helvetica" w:cs="Helvetica"/>
          <w:sz w:val="18"/>
        </w:rPr>
        <w:t xml:space="preserve"> Zarządzenie wchodzi w życie z dniem 1 maja 2022 r.</w:t>
      </w:r>
    </w:p>
    <w:sectPr w:rsidR="00B925D7">
      <w:footerReference w:type="default" r:id="rId6"/>
      <w:type w:val="nextColumn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B7" w:rsidRDefault="009327B7">
      <w:pPr>
        <w:spacing w:after="0" w:line="240" w:lineRule="auto"/>
      </w:pPr>
      <w:r>
        <w:separator/>
      </w:r>
    </w:p>
  </w:endnote>
  <w:endnote w:type="continuationSeparator" w:id="0">
    <w:p w:rsidR="009327B7" w:rsidRDefault="0093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D7" w:rsidRDefault="009327B7">
    <w:proofErr w:type="spellStart"/>
    <w:r>
      <w:t>Legalis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B7" w:rsidRDefault="009327B7">
      <w:pPr>
        <w:spacing w:after="0" w:line="240" w:lineRule="auto"/>
      </w:pPr>
      <w:r>
        <w:separator/>
      </w:r>
    </w:p>
  </w:footnote>
  <w:footnote w:type="continuationSeparator" w:id="0">
    <w:p w:rsidR="009327B7" w:rsidRDefault="009327B7">
      <w:pPr>
        <w:spacing w:after="0" w:line="240" w:lineRule="auto"/>
      </w:pPr>
      <w:r>
        <w:continuationSeparator/>
      </w:r>
    </w:p>
  </w:footnote>
  <w:footnote w:id="1">
    <w:p w:rsidR="00B925D7" w:rsidRDefault="009327B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Helvetica" w:eastAsia="Helvetica" w:hAnsi="Helvetica" w:cs="Helvetica"/>
          <w:sz w:val="18"/>
        </w:rPr>
        <w:t xml:space="preserve"> Minister Spraw Wewnętrznych i Administracji kieruje działem administracji rządowej - sprawy wewnętrzne, na podstawie § 1 ust. 2 pkt 2 rozporządzenia Prezesa Rady Ministrów z dnia 18 listopada 2019 r. w sprawie szczegółowego zakresu działania Ministra Spra</w:t>
      </w:r>
      <w:r>
        <w:rPr>
          <w:rFonts w:ascii="Helvetica" w:eastAsia="Helvetica" w:hAnsi="Helvetica" w:cs="Helvetica"/>
          <w:sz w:val="18"/>
        </w:rPr>
        <w:t>w Wewnętrznych i Administracji (Dz. U. poz. 2264).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D7"/>
    <w:rsid w:val="000C57BB"/>
    <w:rsid w:val="009327B7"/>
    <w:rsid w:val="00B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31DCD-FF3E-4468-9848-3481994E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Mariusz Sokołowski</cp:lastModifiedBy>
  <cp:revision>2</cp:revision>
  <dcterms:created xsi:type="dcterms:W3CDTF">2024-09-25T09:14:00Z</dcterms:created>
  <dcterms:modified xsi:type="dcterms:W3CDTF">2024-09-25T09:14:00Z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PL">
    <vt:lpwstr>false</vt:lpwstr>
  </property>
</Properties>
</file>