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2886" w14:textId="691AD54B" w:rsidR="00F501CF" w:rsidRDefault="00BC7FFE">
      <w:r>
        <w:t>Na nagraniu widać krzewy w pomieszczeniach nielegalnej plantacji oraz specjalną aparaturę do uprawy tych roślin</w:t>
      </w:r>
    </w:p>
    <w:sectPr w:rsidR="00F5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61"/>
    <w:rsid w:val="00494E66"/>
    <w:rsid w:val="00BC7FFE"/>
    <w:rsid w:val="00DC45F3"/>
    <w:rsid w:val="00DE2961"/>
    <w:rsid w:val="00F501CF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B49E"/>
  <w15:chartTrackingRefBased/>
  <w15:docId w15:val="{F6B4A3A2-A010-4A99-BDCC-1D2E0356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2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2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2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2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2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2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2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2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2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29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29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29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29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29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29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2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2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2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2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29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29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29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29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2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Perkowska-Kiepas Małgorzata</dc:creator>
  <cp:keywords/>
  <dc:description/>
  <cp:lastModifiedBy>Perkowska-Kiepas Małgorzata</cp:lastModifiedBy>
  <cp:revision>2</cp:revision>
  <dcterms:created xsi:type="dcterms:W3CDTF">2025-09-16T04:51:00Z</dcterms:created>
  <dcterms:modified xsi:type="dcterms:W3CDTF">2025-09-16T04:52:00Z</dcterms:modified>
</cp:coreProperties>
</file>